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77F74" w14:textId="77777777" w:rsidR="00AD6CC5" w:rsidRDefault="00AD6CC5" w:rsidP="00AD6CC5">
      <w:pPr>
        <w:spacing w:after="0"/>
        <w:jc w:val="center"/>
      </w:pPr>
      <w:r w:rsidRPr="00A5081D">
        <w:t>Parcial I</w:t>
      </w:r>
      <w:r>
        <w:t>I</w:t>
      </w:r>
      <w:r w:rsidRPr="00A5081D">
        <w:t xml:space="preserve"> series de t</w:t>
      </w:r>
      <w:r>
        <w:t xml:space="preserve">iempo </w:t>
      </w:r>
    </w:p>
    <w:p w14:paraId="495C749D" w14:textId="77777777" w:rsidR="00AD6CC5" w:rsidRPr="00A5081D" w:rsidRDefault="00AD6CC5" w:rsidP="00AD6CC5">
      <w:pPr>
        <w:spacing w:after="0"/>
        <w:jc w:val="center"/>
      </w:pPr>
      <w:r w:rsidRPr="00A5081D">
        <w:t>Nombre: _____________________________________________________</w:t>
      </w:r>
    </w:p>
    <w:p w14:paraId="6D7A6650" w14:textId="77777777" w:rsidR="004C374D" w:rsidRDefault="004C374D"/>
    <w:p w14:paraId="2B781D1E" w14:textId="28E2BBDC" w:rsidR="00AD6CC5" w:rsidRDefault="00AD6CC5" w:rsidP="00AD6CC5">
      <w:pPr>
        <w:pStyle w:val="Prrafodelista"/>
        <w:numPr>
          <w:ilvl w:val="0"/>
          <w:numId w:val="1"/>
        </w:numPr>
        <w:spacing w:after="0"/>
        <w:jc w:val="both"/>
      </w:pPr>
      <w:r w:rsidRPr="0077153F">
        <w:rPr>
          <w:b/>
          <w:bCs/>
        </w:rPr>
        <w:t>Vuelos y pronósticos</w:t>
      </w:r>
      <w:r>
        <w:t xml:space="preserve">. Una aerolínea desea pronosticar la cantidad de combustible que sus aviones requieren para completar un viaje. Suponga que la cantidad de combustible necesaria depende de factores difíciles de prever. Discuta brevemente ¿Cuáles son los costos de sobreestimar la cantidad de combustible? ¿y de subestimar? Con base en su discusión grafique una función de pérdida y proponga una forma funcional para la función de perdida. </w:t>
      </w:r>
    </w:p>
    <w:p w14:paraId="3991DA7F" w14:textId="77777777" w:rsidR="00AD6CC5" w:rsidRPr="00AD6CC5" w:rsidRDefault="00AD6CC5" w:rsidP="00AD6CC5">
      <w:pPr>
        <w:pStyle w:val="Prrafodelista"/>
        <w:spacing w:after="0"/>
        <w:jc w:val="both"/>
      </w:pPr>
    </w:p>
    <w:p w14:paraId="5BA93C4B" w14:textId="4D5B106C" w:rsidR="00AD6CC5" w:rsidRPr="00AD6CC5" w:rsidRDefault="00AD6CC5" w:rsidP="00AD6CC5">
      <w:pPr>
        <w:pStyle w:val="Prrafodelista"/>
        <w:numPr>
          <w:ilvl w:val="0"/>
          <w:numId w:val="1"/>
        </w:numPr>
        <w:spacing w:after="0"/>
        <w:jc w:val="both"/>
      </w:pPr>
      <w:r w:rsidRPr="00FA3FD7">
        <w:rPr>
          <w:b/>
          <w:bCs/>
        </w:rPr>
        <w:t>Representaciones de un VAR.</w:t>
      </w:r>
      <w:r>
        <w:t xml:space="preserve"> Suponga que usted tiene el VAR(2)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Pr>
          <w:rFonts w:eastAsiaTheme="minorEastAsia"/>
        </w:rPr>
        <w:t xml:space="preserve"> encuentre la representación </w:t>
      </w:r>
      <m:oMath>
        <m:r>
          <w:rPr>
            <w:rFonts w:ascii="Cambria Math" w:eastAsiaTheme="minorEastAsia" w:hAnsi="Cambria Math"/>
          </w:rPr>
          <m:t>VMA(∞)</m:t>
        </m:r>
      </m:oMath>
      <w:r>
        <w:rPr>
          <w:rFonts w:eastAsiaTheme="minorEastAsia"/>
        </w:rPr>
        <w:t xml:space="preserve"> de este VAR.</w:t>
      </w:r>
      <w:r w:rsidRPr="003023AA">
        <w:rPr>
          <w:rFonts w:eastAsiaTheme="minorEastAsia"/>
        </w:rPr>
        <w:t xml:space="preserve"> </w:t>
      </w:r>
      <w:r>
        <w:rPr>
          <w:rFonts w:eastAsiaTheme="minorEastAsia"/>
        </w:rPr>
        <w:t>Muestre su procedimiento.</w:t>
      </w:r>
    </w:p>
    <w:p w14:paraId="44F72B5B" w14:textId="77777777" w:rsidR="00AD6CC5" w:rsidRPr="004465EB" w:rsidRDefault="00AD6CC5" w:rsidP="004465EB">
      <w:pPr>
        <w:spacing w:after="0"/>
        <w:jc w:val="both"/>
        <w:rPr>
          <w:rFonts w:eastAsiaTheme="minorEastAsia"/>
        </w:rPr>
      </w:pPr>
    </w:p>
    <w:p w14:paraId="288A31D3" w14:textId="778581CC" w:rsidR="00AD6CC5" w:rsidRPr="00AD6CC5" w:rsidRDefault="00AD6CC5" w:rsidP="00AD6CC5">
      <w:pPr>
        <w:pStyle w:val="Prrafodelista"/>
        <w:numPr>
          <w:ilvl w:val="0"/>
          <w:numId w:val="1"/>
        </w:numPr>
        <w:spacing w:after="0"/>
        <w:jc w:val="both"/>
      </w:pPr>
      <w:r w:rsidRPr="00FA3FD7">
        <w:rPr>
          <w:b/>
          <w:bCs/>
        </w:rPr>
        <w:t>Prima de riesgo y economías pequeñas y abiertas</w:t>
      </w:r>
      <w:r>
        <w:t xml:space="preserve">. </w:t>
      </w:r>
      <w:r w:rsidRPr="00A02F20">
        <w:t>El modelo Mundell Fleming (IS-LM) representa</w:t>
      </w:r>
      <w:r>
        <w:t xml:space="preserve"> a</w:t>
      </w:r>
      <w:r w:rsidRPr="00A02F20">
        <w:t xml:space="preserve"> una peque</w:t>
      </w:r>
      <w:r>
        <w:t xml:space="preserve">ña economía abierta en términos de su ciclo económico. El equilibrio del mercado de bienes está dado por las siguientes ecuaciones </w:t>
      </w:r>
      <m:oMath>
        <m:r>
          <w:rPr>
            <w:rFonts w:ascii="Cambria Math" w:hAnsi="Cambria Math"/>
          </w:rPr>
          <m:t>Y=σ</m:t>
        </m:r>
        <m:d>
          <m:dPr>
            <m:ctrlPr>
              <w:rPr>
                <w:rFonts w:ascii="Cambria Math" w:hAnsi="Cambria Math"/>
                <w:i/>
              </w:rPr>
            </m:ctrlPr>
          </m:dPr>
          <m:e>
            <m:r>
              <w:rPr>
                <w:rFonts w:ascii="Cambria Math" w:hAnsi="Cambria Math"/>
              </w:rPr>
              <m:t>Y-T</m:t>
            </m:r>
          </m:e>
        </m:d>
        <m:r>
          <w:rPr>
            <w:rFonts w:ascii="Cambria Math" w:hAnsi="Cambria Math"/>
          </w:rPr>
          <m:t>+I</m:t>
        </m:r>
        <m:d>
          <m:dPr>
            <m:ctrlPr>
              <w:rPr>
                <w:rFonts w:ascii="Cambria Math" w:hAnsi="Cambria Math"/>
                <w:i/>
              </w:rPr>
            </m:ctrlPr>
          </m:dPr>
          <m:e>
            <m:r>
              <w:rPr>
                <w:rFonts w:ascii="Cambria Math" w:hAnsi="Cambria Math"/>
              </w:rPr>
              <m:t>r</m:t>
            </m:r>
          </m:e>
        </m:d>
        <m:r>
          <w:rPr>
            <w:rFonts w:ascii="Cambria Math" w:hAnsi="Cambria Math"/>
          </w:rPr>
          <m:t>+G+XN(e)</m:t>
        </m:r>
      </m:oMath>
      <w:r>
        <w:rPr>
          <w:rFonts w:eastAsiaTheme="minorEastAsia"/>
        </w:rPr>
        <w:t xml:space="preserve"> donde </w:t>
      </w:r>
      <m:oMath>
        <m:r>
          <w:rPr>
            <w:rFonts w:ascii="Cambria Math" w:hAnsi="Cambria Math"/>
          </w:rPr>
          <m:t>σ</m:t>
        </m:r>
      </m:oMath>
      <w:r>
        <w:rPr>
          <w:rFonts w:eastAsiaTheme="minorEastAsia"/>
        </w:rPr>
        <w:t xml:space="preserve"> es la PMC, </w:t>
      </w:r>
      <m:oMath>
        <m:r>
          <w:rPr>
            <w:rFonts w:ascii="Cambria Math" w:hAnsi="Cambria Math"/>
          </w:rPr>
          <m:t>Y-T</m:t>
        </m:r>
      </m:oMath>
      <w:r>
        <w:rPr>
          <w:rFonts w:eastAsiaTheme="minorEastAsia"/>
        </w:rPr>
        <w:t xml:space="preserve"> el ingreso disponible, </w:t>
      </w:r>
      <m:oMath>
        <m:r>
          <w:rPr>
            <w:rFonts w:ascii="Cambria Math" w:hAnsi="Cambria Math"/>
          </w:rPr>
          <m:t>r=</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+θ</m:t>
        </m:r>
      </m:oMath>
      <w:r>
        <w:rPr>
          <w:rFonts w:eastAsiaTheme="minorEastAsia"/>
        </w:rPr>
        <w:t xml:space="preserve"> el interés local, </w:t>
      </w:r>
      <m:oMath>
        <m:r>
          <w:rPr>
            <w:rFonts w:ascii="Cambria Math" w:eastAsiaTheme="minorEastAsia" w:hAnsi="Cambria Math"/>
          </w:rPr>
          <m:t>e</m:t>
        </m:r>
      </m:oMath>
      <w:r>
        <w:rPr>
          <w:rFonts w:eastAsiaTheme="minorEastAsia"/>
        </w:rPr>
        <w:t xml:space="preserve"> la tasa de cambio nominal y </w:t>
      </w:r>
      <m:oMath>
        <m:r>
          <w:rPr>
            <w:rFonts w:ascii="Cambria Math" w:hAnsi="Cambria Math"/>
          </w:rPr>
          <m:t>θ</m:t>
        </m:r>
      </m:oMath>
      <w:r>
        <w:rPr>
          <w:rFonts w:eastAsiaTheme="minorEastAsia"/>
        </w:rPr>
        <w:t xml:space="preserve"> la prima de riesgo. El equilibrio en el mercado de dinero está dado por </w:t>
      </w:r>
      <m:oMath>
        <m:f>
          <m:fPr>
            <m:ctrlPr>
              <w:rPr>
                <w:rFonts w:ascii="Cambria Math" w:eastAsiaTheme="minorEastAsia" w:hAnsi="Cambria Math"/>
                <w:i/>
              </w:rPr>
            </m:ctrlPr>
          </m:fPr>
          <m:num>
            <m:r>
              <w:rPr>
                <w:rFonts w:ascii="Cambria Math" w:eastAsiaTheme="minorEastAsia" w:hAnsi="Cambria Math"/>
              </w:rPr>
              <m:t>M</m:t>
            </m:r>
          </m:num>
          <m:den>
            <m:r>
              <w:rPr>
                <w:rFonts w:ascii="Cambria Math" w:eastAsiaTheme="minorEastAsia" w:hAnsi="Cambria Math"/>
              </w:rPr>
              <m:t>P</m:t>
            </m:r>
          </m:den>
        </m:f>
        <m:r>
          <w:rPr>
            <w:rFonts w:ascii="Cambria Math" w:eastAsiaTheme="minorEastAsia" w:hAnsi="Cambria Math"/>
          </w:rPr>
          <m:t>=L(r,Y)</m:t>
        </m:r>
      </m:oMath>
      <w:r>
        <w:rPr>
          <w:rFonts w:eastAsiaTheme="minorEastAsia"/>
        </w:rPr>
        <w:t xml:space="preserve"> donde </w:t>
      </w:r>
      <m:oMath>
        <m:r>
          <w:rPr>
            <w:rFonts w:ascii="Cambria Math" w:eastAsiaTheme="minorEastAsia" w:hAnsi="Cambria Math"/>
          </w:rPr>
          <m:t>L(r,Y)</m:t>
        </m:r>
      </m:oMath>
      <w:r>
        <w:rPr>
          <w:rFonts w:eastAsiaTheme="minorEastAsia"/>
        </w:rPr>
        <w:t xml:space="preserve"> es la demanda de dinero. Aquí </w:t>
      </w:r>
      <m:oMath>
        <m:r>
          <w:rPr>
            <w:rFonts w:ascii="Cambria Math" w:hAnsi="Cambria Math"/>
          </w:rPr>
          <m:t>e</m:t>
        </m:r>
      </m:oMath>
      <w:r>
        <w:rPr>
          <w:rFonts w:eastAsiaTheme="minorEastAsia"/>
        </w:rPr>
        <w:t xml:space="preserve"> y </w:t>
      </w:r>
      <m:oMath>
        <m:r>
          <w:rPr>
            <w:rFonts w:ascii="Cambria Math" w:hAnsi="Cambria Math"/>
          </w:rPr>
          <m:t>Y</m:t>
        </m:r>
      </m:oMath>
      <w:r>
        <w:rPr>
          <w:rFonts w:eastAsiaTheme="minorEastAsia"/>
        </w:rPr>
        <w:t xml:space="preserve"> son </w:t>
      </w:r>
      <w:r w:rsidRPr="00C00E70">
        <w:rPr>
          <w:rFonts w:eastAsiaTheme="minorEastAsia"/>
          <w:b/>
          <w:bCs/>
        </w:rPr>
        <w:t>endógenas</w:t>
      </w:r>
      <w:r>
        <w:rPr>
          <w:rFonts w:eastAsiaTheme="minorEastAsia"/>
        </w:rPr>
        <w:t xml:space="preserve"> y las demás son exógenas. Suponga que usted realiza un SVAR entre el precio del petróleo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m:t>
            </m:r>
          </m:sub>
        </m:sSub>
      </m:oMath>
      <w:r>
        <w:rPr>
          <w:rFonts w:eastAsiaTheme="minorEastAsia"/>
        </w:rPr>
        <w:t xml:space="preserve">), la tasa de cambio nominal y la prima de riesgo utilizando la descomposición de Cholesky usando una matriz triangular inferior. Muestre las ecuaciones de su </w:t>
      </w:r>
      <w:r w:rsidRPr="00143CC2">
        <w:rPr>
          <w:rFonts w:eastAsiaTheme="minorEastAsia"/>
          <w:b/>
        </w:rPr>
        <w:t>propuesta</w:t>
      </w:r>
      <w:r>
        <w:rPr>
          <w:rFonts w:eastAsiaTheme="minorEastAsia"/>
        </w:rPr>
        <w:t xml:space="preserve"> del SVAR ¿Cómo puede sustentar el ordenamiento de las variables usando el modelo MF?</w:t>
      </w:r>
    </w:p>
    <w:p w14:paraId="53ABAF3F" w14:textId="77777777" w:rsidR="00AD6CC5" w:rsidRDefault="00AD6CC5" w:rsidP="004465EB">
      <w:pPr>
        <w:spacing w:after="0"/>
        <w:jc w:val="both"/>
      </w:pPr>
    </w:p>
    <w:p w14:paraId="563D2E44" w14:textId="05F1439A" w:rsidR="004A1212" w:rsidRPr="00143CC2" w:rsidRDefault="004A1212" w:rsidP="004A1212">
      <w:pPr>
        <w:pStyle w:val="Prrafodelista"/>
        <w:numPr>
          <w:ilvl w:val="0"/>
          <w:numId w:val="1"/>
        </w:numPr>
        <w:spacing w:after="0"/>
        <w:jc w:val="both"/>
      </w:pPr>
      <w:r>
        <w:t>Del modelo SVAR(1) con tres variables endógenas</w:t>
      </w:r>
      <w:r w:rsidRPr="00FD784B">
        <w:rPr>
          <w:rFonts w:eastAsiaTheme="minorEastAsia"/>
        </w:rPr>
        <w:t xml:space="preserve"> </w:t>
      </w:r>
      <m:oMath>
        <m:d>
          <m:dPr>
            <m:ctrlPr>
              <w:rPr>
                <w:rFonts w:ascii="Cambria Math" w:eastAsiaTheme="minorEastAsia" w:hAnsi="Cambria Math"/>
                <w:i/>
              </w:rPr>
            </m:ctrlPr>
          </m:dPr>
          <m:e>
            <m:r>
              <w:rPr>
                <w:rFonts w:ascii="Cambria Math" w:eastAsiaTheme="minorEastAsia" w:hAnsi="Cambria Math"/>
              </w:rPr>
              <m:t>K-</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1</m:t>
                </m:r>
              </m:sub>
              <m:sup>
                <m:r>
                  <w:rPr>
                    <w:rFonts w:ascii="Cambria Math" w:eastAsiaTheme="minorEastAsia" w:hAnsi="Cambria Math"/>
                  </w:rPr>
                  <m:t>*</m:t>
                </m:r>
              </m:sup>
            </m:sSubSup>
            <m:r>
              <w:rPr>
                <w:rFonts w:ascii="Cambria Math" w:eastAsiaTheme="minorEastAsia" w:hAnsi="Cambria Math"/>
              </w:rPr>
              <m:t>L</m:t>
            </m:r>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0</m:t>
            </m:r>
          </m:sub>
          <m:sup>
            <m:r>
              <w:rPr>
                <w:rFonts w:ascii="Cambria Math" w:eastAsiaTheme="minorEastAsia" w:hAnsi="Cambria Math"/>
              </w:rPr>
              <m:t>*</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oMath>
      <w:r w:rsidRPr="00FD784B">
        <w:rPr>
          <w:rFonts w:eastAsiaTheme="minorEastAsia"/>
        </w:rPr>
        <w:t xml:space="preserve">. Donde </w:t>
      </w:r>
      <m:oMath>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oMath>
      <w:r w:rsidRPr="00FD784B">
        <w:rPr>
          <w:rFonts w:eastAsiaTheme="minorEastAsia"/>
        </w:rPr>
        <w:t xml:space="preserve">, siendo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sidRPr="00FD784B">
        <w:rPr>
          <w:rFonts w:eastAsiaTheme="minorEastAsia"/>
        </w:rPr>
        <w:t xml:space="preserve"> los errores de la forma reducida y </w:t>
      </w:r>
      <m:oMath>
        <m:r>
          <w:rPr>
            <w:rFonts w:ascii="Cambria Math" w:eastAsiaTheme="minorEastAsia" w:hAnsi="Cambria Math"/>
          </w:rPr>
          <m:t>K=</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13</m:t>
                      </m:r>
                    </m:sub>
                  </m:sSub>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12</m:t>
                      </m:r>
                    </m:sub>
                  </m:sSub>
                </m:e>
                <m:e>
                  <m:r>
                    <w:rPr>
                      <w:rFonts w:ascii="Cambria Math" w:eastAsiaTheme="minorEastAsia" w:hAnsi="Cambria Math"/>
                    </w:rPr>
                    <m:t>0</m:t>
                  </m:r>
                </m:e>
                <m:e>
                  <m:r>
                    <w:rPr>
                      <w:rFonts w:ascii="Cambria Math" w:eastAsiaTheme="minorEastAsia" w:hAnsi="Cambria Math"/>
                    </w:rPr>
                    <m:t>0</m:t>
                  </m:r>
                </m:e>
              </m:mr>
              <m:m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31</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32</m:t>
                      </m:r>
                    </m:sub>
                  </m:sSub>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33</m:t>
                      </m:r>
                    </m:sub>
                  </m:sSub>
                </m:e>
              </m:mr>
            </m:m>
          </m:e>
        </m:d>
      </m:oMath>
      <w:r w:rsidRPr="00FD784B">
        <w:rPr>
          <w:rFonts w:eastAsiaTheme="minorEastAsia"/>
        </w:rPr>
        <w:t xml:space="preserve">. Encuentre la definición de las matrices </w:t>
      </w:r>
      <m:oMath>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1</m:t>
            </m:r>
          </m:sub>
          <m:sup>
            <m:r>
              <w:rPr>
                <w:rFonts w:ascii="Cambria Math" w:eastAsiaTheme="minorEastAsia" w:hAnsi="Cambria Math"/>
              </w:rPr>
              <m:t>*</m:t>
            </m:r>
          </m:sup>
        </m:sSubSup>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0</m:t>
            </m:r>
          </m:sub>
          <m:sup>
            <m:r>
              <w:rPr>
                <w:rFonts w:ascii="Cambria Math" w:eastAsiaTheme="minorEastAsia" w:hAnsi="Cambria Math"/>
              </w:rPr>
              <m:t>*</m:t>
            </m:r>
          </m:sup>
        </m:sSubSup>
      </m:oMath>
      <w:r w:rsidRPr="00FD784B">
        <w:rPr>
          <w:rFonts w:eastAsiaTheme="minorEastAsia"/>
        </w:rPr>
        <w:t xml:space="preserve"> y los errores </w:t>
      </w:r>
      <m:oMath>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oMath>
      <w:r w:rsidRPr="00FD784B">
        <w:rPr>
          <w:rFonts w:eastAsiaTheme="minorEastAsia"/>
        </w:rPr>
        <w:t xml:space="preserve"> en términos de los parámetros de la forma reducida, los valores de </w:t>
      </w:r>
      <m:oMath>
        <m:r>
          <w:rPr>
            <w:rFonts w:ascii="Cambria Math" w:eastAsiaTheme="minorEastAsia" w:hAnsi="Cambria Math"/>
          </w:rPr>
          <m:t>K</m:t>
        </m:r>
      </m:oMath>
      <w:r w:rsidRPr="00FD784B">
        <w:rPr>
          <w:rFonts w:eastAsiaTheme="minorEastAsia"/>
        </w:rPr>
        <w:t xml:space="preserve"> y los errores de la forma reducida (solo aplica para </w:t>
      </w:r>
      <m:oMath>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t</m:t>
            </m:r>
          </m:sub>
        </m:sSub>
      </m:oMath>
      <w:r w:rsidRPr="00FD784B">
        <w:rPr>
          <w:rFonts w:eastAsiaTheme="minorEastAsia"/>
        </w:rPr>
        <w:t>)</w:t>
      </w:r>
    </w:p>
    <w:p w14:paraId="0424DAEC" w14:textId="77777777" w:rsidR="004A1212" w:rsidRDefault="004A1212" w:rsidP="004A1212">
      <w:pPr>
        <w:pStyle w:val="Prrafodelista"/>
      </w:pPr>
    </w:p>
    <w:p w14:paraId="42E993C2" w14:textId="325AF682" w:rsidR="004A1212" w:rsidRPr="004A1212" w:rsidRDefault="004A1212" w:rsidP="004A1212">
      <w:pPr>
        <w:pStyle w:val="Prrafodelista"/>
        <w:numPr>
          <w:ilvl w:val="0"/>
          <w:numId w:val="1"/>
        </w:numPr>
        <w:spacing w:after="160" w:line="259" w:lineRule="auto"/>
        <w:jc w:val="both"/>
        <w:rPr>
          <w:lang w:val="es-ES"/>
        </w:rPr>
      </w:pPr>
      <w:r>
        <w:rPr>
          <w:lang w:val="es-ES"/>
        </w:rPr>
        <w:t xml:space="preserve">La PPA establece que la tasa de cambio real es igual a uno, tal que ahora </w:t>
      </w:r>
      <m:oMath>
        <m:r>
          <w:rPr>
            <w:rFonts w:ascii="Cambria Math" w:hAnsi="Cambria Math"/>
            <w:lang w:val="es-ES"/>
          </w:rPr>
          <m:t>e=</m:t>
        </m:r>
        <m:f>
          <m:fPr>
            <m:ctrlPr>
              <w:rPr>
                <w:rFonts w:ascii="Cambria Math" w:hAnsi="Cambria Math"/>
                <w:i/>
                <w:lang w:val="es-ES"/>
              </w:rPr>
            </m:ctrlPr>
          </m:fPr>
          <m:num>
            <m:sSub>
              <m:sSubPr>
                <m:ctrlPr>
                  <w:rPr>
                    <w:rFonts w:ascii="Cambria Math" w:hAnsi="Cambria Math"/>
                    <w:i/>
                    <w:lang w:val="es-ES"/>
                  </w:rPr>
                </m:ctrlPr>
              </m:sSubPr>
              <m:e>
                <m:r>
                  <w:rPr>
                    <w:rFonts w:ascii="Cambria Math" w:hAnsi="Cambria Math"/>
                    <w:lang w:val="es-ES"/>
                  </w:rPr>
                  <m:t>P</m:t>
                </m:r>
              </m:e>
              <m:sub>
                <m:r>
                  <w:rPr>
                    <w:rFonts w:ascii="Cambria Math" w:hAnsi="Cambria Math"/>
                    <w:lang w:val="es-ES"/>
                  </w:rPr>
                  <m:t>local</m:t>
                </m:r>
              </m:sub>
            </m:sSub>
          </m:num>
          <m:den>
            <m:sSub>
              <m:sSubPr>
                <m:ctrlPr>
                  <w:rPr>
                    <w:rFonts w:ascii="Cambria Math" w:hAnsi="Cambria Math"/>
                    <w:i/>
                    <w:lang w:val="es-ES"/>
                  </w:rPr>
                </m:ctrlPr>
              </m:sSubPr>
              <m:e>
                <m:r>
                  <w:rPr>
                    <w:rFonts w:ascii="Cambria Math" w:hAnsi="Cambria Math"/>
                    <w:lang w:val="es-ES"/>
                  </w:rPr>
                  <m:t>P</m:t>
                </m:r>
              </m:e>
              <m:sub>
                <m:r>
                  <w:rPr>
                    <w:rFonts w:ascii="Cambria Math" w:hAnsi="Cambria Math"/>
                    <w:lang w:val="es-ES"/>
                  </w:rPr>
                  <m:t>Extranjero</m:t>
                </m:r>
              </m:sub>
            </m:sSub>
          </m:den>
        </m:f>
      </m:oMath>
      <w:r>
        <w:rPr>
          <w:rFonts w:eastAsiaTheme="minorEastAsia"/>
          <w:lang w:val="es-ES"/>
        </w:rPr>
        <w:t xml:space="preserve"> donde </w:t>
      </w:r>
      <m:oMath>
        <m:r>
          <w:rPr>
            <w:rFonts w:ascii="Cambria Math" w:hAnsi="Cambria Math"/>
            <w:lang w:val="es-ES"/>
          </w:rPr>
          <m:t>e</m:t>
        </m:r>
      </m:oMath>
      <w:r>
        <w:rPr>
          <w:rFonts w:eastAsiaTheme="minorEastAsia"/>
          <w:lang w:val="es-ES"/>
        </w:rPr>
        <w:t xml:space="preserve"> representa a la tasa de cambio nominal, </w:t>
      </w:r>
      <m:oMath>
        <m:sSub>
          <m:sSubPr>
            <m:ctrlPr>
              <w:rPr>
                <w:rFonts w:ascii="Cambria Math" w:hAnsi="Cambria Math"/>
                <w:i/>
                <w:lang w:val="es-ES"/>
              </w:rPr>
            </m:ctrlPr>
          </m:sSubPr>
          <m:e>
            <m:r>
              <w:rPr>
                <w:rFonts w:ascii="Cambria Math" w:hAnsi="Cambria Math"/>
                <w:lang w:val="es-ES"/>
              </w:rPr>
              <m:t>P</m:t>
            </m:r>
          </m:e>
          <m:sub>
            <m:r>
              <w:rPr>
                <w:rFonts w:ascii="Cambria Math" w:hAnsi="Cambria Math"/>
                <w:lang w:val="es-ES"/>
              </w:rPr>
              <m:t>local</m:t>
            </m:r>
          </m:sub>
        </m:sSub>
      </m:oMath>
      <w:r>
        <w:rPr>
          <w:rFonts w:eastAsiaTheme="minorEastAsia"/>
          <w:lang w:val="es-ES"/>
        </w:rPr>
        <w:t xml:space="preserve"> al nivel de precios local, y </w:t>
      </w:r>
      <m:oMath>
        <m:sSub>
          <m:sSubPr>
            <m:ctrlPr>
              <w:rPr>
                <w:rFonts w:ascii="Cambria Math" w:hAnsi="Cambria Math"/>
                <w:i/>
                <w:lang w:val="es-ES"/>
              </w:rPr>
            </m:ctrlPr>
          </m:sSubPr>
          <m:e>
            <m:r>
              <w:rPr>
                <w:rFonts w:ascii="Cambria Math" w:hAnsi="Cambria Math"/>
                <w:lang w:val="es-ES"/>
              </w:rPr>
              <m:t>P</m:t>
            </m:r>
          </m:e>
          <m:sub>
            <m:r>
              <w:rPr>
                <w:rFonts w:ascii="Cambria Math" w:hAnsi="Cambria Math"/>
                <w:lang w:val="es-ES"/>
              </w:rPr>
              <m:t>Extranjero</m:t>
            </m:r>
          </m:sub>
        </m:sSub>
      </m:oMath>
      <w:r>
        <w:rPr>
          <w:rFonts w:eastAsiaTheme="minorEastAsia"/>
          <w:lang w:val="es-ES"/>
        </w:rPr>
        <w:t xml:space="preserve"> al nivel de precios extranjero. Usando esta información responda ¿Cómo podría probar que se cumple la PPA? Si usted solamente pudiera usar pruebas de raíz unitaria ¿Cómo podría probar que se cumple la PPA? Responda detalladamente. Pista: considere que las variables de la PPA se encuentran en niveles.</w:t>
      </w:r>
    </w:p>
    <w:p w14:paraId="659750F6" w14:textId="77777777" w:rsidR="004A1212" w:rsidRPr="00282132" w:rsidRDefault="004A1212" w:rsidP="004A1212">
      <w:pPr>
        <w:pStyle w:val="Prrafodelista"/>
        <w:spacing w:after="160" w:line="259" w:lineRule="auto"/>
        <w:jc w:val="both"/>
        <w:rPr>
          <w:lang w:val="es-ES"/>
        </w:rPr>
      </w:pPr>
    </w:p>
    <w:p w14:paraId="7377F2C4" w14:textId="7BA7CDC4" w:rsidR="00AD6CC5" w:rsidRPr="004465EB" w:rsidRDefault="004A1212" w:rsidP="004465EB">
      <w:pPr>
        <w:pStyle w:val="Prrafodelista"/>
        <w:numPr>
          <w:ilvl w:val="0"/>
          <w:numId w:val="1"/>
        </w:numPr>
        <w:spacing w:after="0"/>
        <w:rPr>
          <w:rFonts w:eastAsiaTheme="minorEastAsia"/>
        </w:rPr>
      </w:pPr>
      <w:r>
        <w:t xml:space="preserve">Sea </w:t>
      </w:r>
      <m:oMath>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hAnsi="Cambria Math"/>
          </w:rPr>
          <m:t>=c+</m:t>
        </m:r>
        <m:sSub>
          <m:sSubPr>
            <m:ctrlPr>
              <w:rPr>
                <w:rFonts w:ascii="Cambria Math" w:hAnsi="Cambria Math"/>
                <w:i/>
              </w:rPr>
            </m:ctrlPr>
          </m:sSubPr>
          <m:e>
            <m:r>
              <w:rPr>
                <w:rFonts w:ascii="Cambria Math" w:hAnsi="Cambria Math"/>
              </w:rPr>
              <m:t>x</m:t>
            </m:r>
          </m:e>
          <m:sub>
            <m:r>
              <w:rPr>
                <w:rFonts w:ascii="Cambria Math" w:hAnsi="Cambria Math"/>
              </w:rPr>
              <m:t>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m:t>
            </m:r>
          </m:sub>
        </m:sSub>
      </m:oMath>
      <w:r>
        <w:rPr>
          <w:rFonts w:eastAsiaTheme="minorEastAsia"/>
        </w:rPr>
        <w:t xml:space="preserve"> donde </w:t>
      </w:r>
      <m:oMath>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~iid</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e>
        </m:d>
      </m:oMath>
      <w:r>
        <w:rPr>
          <w:rFonts w:eastAsiaTheme="minorEastAsia"/>
        </w:rPr>
        <w:t xml:space="preserve"> ¿Cuál es el valor esperado de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oMath>
    </w:p>
    <w:p w14:paraId="1DC99EFE" w14:textId="77777777" w:rsidR="004465EB" w:rsidRPr="004465EB" w:rsidRDefault="004465EB" w:rsidP="004465EB">
      <w:pPr>
        <w:spacing w:after="0"/>
        <w:rPr>
          <w:rFonts w:eastAsiaTheme="minorEastAsia"/>
        </w:rPr>
      </w:pPr>
    </w:p>
    <w:p w14:paraId="1FF77780" w14:textId="7CE5C272" w:rsidR="00E506B0" w:rsidRDefault="00E506B0" w:rsidP="00E506B0">
      <w:pPr>
        <w:pStyle w:val="Prrafodelista"/>
        <w:numPr>
          <w:ilvl w:val="0"/>
          <w:numId w:val="1"/>
        </w:numPr>
      </w:pPr>
      <w:r>
        <w:t xml:space="preserve">Describa brevemente el algoritmo para encontrar cointegración y modelarla usando un VECM. Sea detallado únicamente en los puntos que considere más relevantes. </w:t>
      </w:r>
    </w:p>
    <w:p w14:paraId="11E56BAD" w14:textId="77777777" w:rsidR="004465EB" w:rsidRDefault="004465EB" w:rsidP="004465EB">
      <w:pPr>
        <w:pStyle w:val="Prrafodelista"/>
        <w:jc w:val="both"/>
      </w:pPr>
    </w:p>
    <w:p w14:paraId="093A1643" w14:textId="6E0005A5" w:rsidR="004A1212" w:rsidRPr="004A1212" w:rsidRDefault="004A1212" w:rsidP="00E506B0">
      <w:pPr>
        <w:pStyle w:val="Prrafodelista"/>
        <w:numPr>
          <w:ilvl w:val="0"/>
          <w:numId w:val="1"/>
        </w:numPr>
        <w:jc w:val="both"/>
      </w:pPr>
      <w:r>
        <w:t xml:space="preserve">En clase se encontró la representación ARMA de un modelo GARCH. Usando esta representación responda las siguientes preguntas ¿Qué coeficientes determinan la estabilidad de la varianza condicional? </w:t>
      </w:r>
      <w:r w:rsidR="00E506B0">
        <w:t>¿Cómo se asocia esto a las restricciones de signo de la varianza condicional e incondicional?</w:t>
      </w:r>
    </w:p>
    <w:sectPr w:rsidR="004A1212" w:rsidRPr="004A1212" w:rsidSect="004465EB">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F18B6"/>
    <w:multiLevelType w:val="hybridMultilevel"/>
    <w:tmpl w:val="03B4768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094747B"/>
    <w:multiLevelType w:val="hybridMultilevel"/>
    <w:tmpl w:val="B7B2A5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CC5"/>
    <w:rsid w:val="004465EB"/>
    <w:rsid w:val="004A1212"/>
    <w:rsid w:val="004C374D"/>
    <w:rsid w:val="0098568A"/>
    <w:rsid w:val="009C7584"/>
    <w:rsid w:val="00AD6CC5"/>
    <w:rsid w:val="00E506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5E98B"/>
  <w15:chartTrackingRefBased/>
  <w15:docId w15:val="{396ACDF6-E7AB-4B9D-A2F8-80A8AF863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CC5"/>
    <w:pPr>
      <w:spacing w:after="200" w:line="276" w:lineRule="auto"/>
    </w:pPr>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6C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488</Words>
  <Characters>2684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 Pulido</dc:creator>
  <cp:keywords/>
  <dc:description/>
  <cp:lastModifiedBy>Nicolas Ronderos</cp:lastModifiedBy>
  <cp:revision>4</cp:revision>
  <dcterms:created xsi:type="dcterms:W3CDTF">2023-05-27T20:37:00Z</dcterms:created>
  <dcterms:modified xsi:type="dcterms:W3CDTF">2026-02-06T23:02:00Z</dcterms:modified>
</cp:coreProperties>
</file>